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7866D88F" w:rsidR="00F7741F" w:rsidRPr="00CB5E37" w:rsidRDefault="00CB5E37" w:rsidP="00494C2C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</w:t>
      </w:r>
      <w:r w:rsidR="00F7741F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</w:t>
      </w:r>
      <w:r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7</w:t>
      </w:r>
      <w:r w:rsidR="00EF2003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decembrie </w:t>
      </w:r>
      <w:r w:rsidR="00F7741F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202</w:t>
      </w:r>
      <w:r w:rsidR="005F581F" w:rsidRPr="00CB5E37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5</w:t>
      </w:r>
    </w:p>
    <w:p w14:paraId="6478EE5B" w14:textId="38636573" w:rsidR="002948B4" w:rsidRPr="00CB5E37" w:rsidRDefault="00F7741F" w:rsidP="00CB5E37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</w:pPr>
      <w:r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                                    </w:t>
      </w:r>
      <w:r w:rsidR="00251B80"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</w:t>
      </w:r>
      <w:r w:rsidR="00EF2003"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</w:t>
      </w:r>
      <w:r w:rsid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     </w:t>
      </w:r>
      <w:r w:rsidR="00CB5E37"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>Comunicat</w:t>
      </w:r>
      <w:r w:rsidRPr="00CB5E37">
        <w:rPr>
          <w:rFonts w:ascii="Trebuchet MS" w:eastAsia="Times New Roman" w:hAnsi="Trebuchet MS" w:cs="Tahoma"/>
          <w:b/>
          <w:bCs/>
          <w:color w:val="0070C0"/>
          <w:kern w:val="36"/>
          <w:sz w:val="24"/>
          <w:szCs w:val="24"/>
          <w:lang w:eastAsia="en-GB"/>
        </w:rPr>
        <w:t xml:space="preserve"> de presă</w:t>
      </w:r>
    </w:p>
    <w:p w14:paraId="5D2F67B1" w14:textId="4EDE782C" w:rsidR="00CB5E37" w:rsidRPr="00CB5E37" w:rsidRDefault="00CB5E37" w:rsidP="00CB5E37">
      <w:pPr>
        <w:jc w:val="center"/>
        <w:rPr>
          <w:rFonts w:ascii="Trebuchet MS" w:hAnsi="Trebuchet MS"/>
          <w:b/>
          <w:bCs/>
          <w:color w:val="4F81BD" w:themeColor="accent1"/>
          <w:sz w:val="24"/>
          <w:szCs w:val="24"/>
        </w:rPr>
      </w:pPr>
      <w:r w:rsidRPr="00CB5E37">
        <w:rPr>
          <w:rFonts w:ascii="Trebuchet MS" w:hAnsi="Trebuchet MS"/>
          <w:b/>
          <w:bCs/>
          <w:color w:val="4F81BD" w:themeColor="accent1"/>
          <w:sz w:val="24"/>
          <w:szCs w:val="24"/>
          <w:lang w:val="en-GB"/>
        </w:rPr>
        <w:t xml:space="preserve">Precizări privind reorganizarea </w:t>
      </w:r>
      <w:r w:rsidR="008B4DBB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învățământului </w:t>
      </w:r>
      <w:r w:rsidRPr="00CB5E37">
        <w:rPr>
          <w:rFonts w:ascii="Trebuchet MS" w:hAnsi="Trebuchet MS"/>
          <w:b/>
          <w:bCs/>
          <w:color w:val="4F81BD" w:themeColor="accent1"/>
          <w:sz w:val="24"/>
          <w:szCs w:val="24"/>
        </w:rPr>
        <w:t>profesional și tehnic în cadrul liceelor tehnologice</w:t>
      </w:r>
    </w:p>
    <w:p w14:paraId="7EA9E638" w14:textId="5837B9F4" w:rsidR="00CB5E37" w:rsidRP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sz w:val="24"/>
          <w:szCs w:val="24"/>
        </w:rPr>
        <w:t>Începând cu anul școlar 2026–2027, în conformitate cu Legea învățământului preuniversitar</w:t>
      </w:r>
      <w:r>
        <w:rPr>
          <w:rFonts w:ascii="Trebuchet MS" w:hAnsi="Trebuchet MS"/>
          <w:sz w:val="24"/>
          <w:szCs w:val="24"/>
        </w:rPr>
        <w:t>,</w:t>
      </w:r>
      <w:r w:rsidRPr="00CB5E37">
        <w:rPr>
          <w:rFonts w:ascii="Trebuchet MS" w:hAnsi="Trebuchet MS"/>
          <w:sz w:val="24"/>
          <w:szCs w:val="24"/>
        </w:rPr>
        <w:t xml:space="preserve"> nr. 198/2023, </w:t>
      </w:r>
      <w:r w:rsidRPr="00CB5E37">
        <w:rPr>
          <w:rFonts w:ascii="Trebuchet MS" w:hAnsi="Trebuchet MS"/>
          <w:b/>
          <w:bCs/>
          <w:sz w:val="24"/>
          <w:szCs w:val="24"/>
        </w:rPr>
        <w:t>învățământul profesional și tehnic va fi reorganizat în cadrul liceelor tehnologice</w:t>
      </w:r>
      <w:r w:rsidRPr="00CB5E37">
        <w:rPr>
          <w:rFonts w:ascii="Trebuchet MS" w:hAnsi="Trebuchet MS"/>
          <w:sz w:val="24"/>
          <w:szCs w:val="24"/>
        </w:rPr>
        <w:t>.</w:t>
      </w:r>
    </w:p>
    <w:p w14:paraId="56F1E907" w14:textId="2958DA55" w:rsidR="00CB5E37" w:rsidRP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sz w:val="24"/>
          <w:szCs w:val="24"/>
        </w:rPr>
        <w:t>Conform O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M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C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 xml:space="preserve"> nr. 6638/31.10.2025, învățământul liceal tehnologic va avea o durată de patru ani, iar elevii vor putea obține succesiv:</w:t>
      </w:r>
    </w:p>
    <w:p w14:paraId="1985A6F5" w14:textId="5C75125C" w:rsidR="00CB5E37" w:rsidRPr="00CB5E37" w:rsidRDefault="00CB5E37" w:rsidP="00FB4366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</w:t>
      </w:r>
      <w:r w:rsidRPr="00CB5E37">
        <w:rPr>
          <w:rFonts w:ascii="Trebuchet MS" w:hAnsi="Trebuchet MS"/>
          <w:b/>
          <w:bCs/>
          <w:sz w:val="24"/>
          <w:szCs w:val="24"/>
        </w:rPr>
        <w:t>ertificat de calificare profesională nivel 3</w:t>
      </w:r>
      <w:r w:rsidRPr="00CB5E37">
        <w:rPr>
          <w:rFonts w:ascii="Trebuchet MS" w:hAnsi="Trebuchet MS"/>
          <w:sz w:val="24"/>
          <w:szCs w:val="24"/>
        </w:rPr>
        <w:t>, după 3 ani;</w:t>
      </w:r>
    </w:p>
    <w:p w14:paraId="3762D0AF" w14:textId="18259219" w:rsidR="00CB5E37" w:rsidRDefault="00CB5E37" w:rsidP="00FB4366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C</w:t>
      </w:r>
      <w:r w:rsidRPr="00CB5E37">
        <w:rPr>
          <w:rFonts w:ascii="Trebuchet MS" w:hAnsi="Trebuchet MS"/>
          <w:b/>
          <w:bCs/>
          <w:sz w:val="24"/>
          <w:szCs w:val="24"/>
        </w:rPr>
        <w:t>ertificat de calificare profesională nivel 4</w:t>
      </w:r>
      <w:r w:rsidRPr="00CB5E37">
        <w:rPr>
          <w:rFonts w:ascii="Trebuchet MS" w:hAnsi="Trebuchet MS"/>
          <w:sz w:val="24"/>
          <w:szCs w:val="24"/>
        </w:rPr>
        <w:t> și </w:t>
      </w:r>
      <w:r w:rsidRPr="00CB5E37">
        <w:rPr>
          <w:rFonts w:ascii="Trebuchet MS" w:hAnsi="Trebuchet MS"/>
          <w:b/>
          <w:bCs/>
          <w:sz w:val="24"/>
          <w:szCs w:val="24"/>
        </w:rPr>
        <w:t>diploma de bacalaureat</w:t>
      </w:r>
      <w:r w:rsidRPr="00CB5E37">
        <w:rPr>
          <w:rFonts w:ascii="Trebuchet MS" w:hAnsi="Trebuchet MS"/>
          <w:sz w:val="24"/>
          <w:szCs w:val="24"/>
        </w:rPr>
        <w:t>, după 4 ani.</w:t>
      </w:r>
    </w:p>
    <w:p w14:paraId="746298A7" w14:textId="77777777" w:rsidR="00CB5E37" w:rsidRPr="00CB5E37" w:rsidRDefault="00CB5E37" w:rsidP="00CB5E37">
      <w:pPr>
        <w:spacing w:after="0" w:line="240" w:lineRule="auto"/>
        <w:ind w:left="720"/>
        <w:jc w:val="both"/>
        <w:rPr>
          <w:rFonts w:ascii="Trebuchet MS" w:hAnsi="Trebuchet MS"/>
          <w:sz w:val="24"/>
          <w:szCs w:val="24"/>
        </w:rPr>
      </w:pPr>
    </w:p>
    <w:p w14:paraId="64EC8E95" w14:textId="072FE21A" w:rsid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sz w:val="24"/>
          <w:szCs w:val="24"/>
        </w:rPr>
        <w:t>Învățământul liceal tehnologic dual, reglementat prin O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M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>C</w:t>
      </w:r>
      <w:r>
        <w:rPr>
          <w:rFonts w:ascii="Trebuchet MS" w:hAnsi="Trebuchet MS"/>
          <w:sz w:val="24"/>
          <w:szCs w:val="24"/>
        </w:rPr>
        <w:t>.</w:t>
      </w:r>
      <w:r w:rsidRPr="00CB5E37">
        <w:rPr>
          <w:rFonts w:ascii="Trebuchet MS" w:hAnsi="Trebuchet MS"/>
          <w:sz w:val="24"/>
          <w:szCs w:val="24"/>
        </w:rPr>
        <w:t xml:space="preserve"> nr. 6700/17.11.2025, se desfășoară în baza unui contract de parteneriat între unitățile de învățământ</w:t>
      </w:r>
      <w:r>
        <w:rPr>
          <w:rFonts w:ascii="Trebuchet MS" w:hAnsi="Trebuchet MS"/>
          <w:sz w:val="24"/>
          <w:szCs w:val="24"/>
        </w:rPr>
        <w:t xml:space="preserve"> preuniversitar</w:t>
      </w:r>
      <w:r w:rsidRPr="00CB5E37">
        <w:rPr>
          <w:rFonts w:ascii="Trebuchet MS" w:hAnsi="Trebuchet MS"/>
          <w:sz w:val="24"/>
          <w:szCs w:val="24"/>
        </w:rPr>
        <w:t>, operatorii economici și unitățile administrativ-teritoriale. Operatorii economici se implică direct în pregătirea practică a elevilor și pot acorda burse cel puțin la nivelul celor finanțate din fonduri publice, precum și alte forme de sprijin.</w:t>
      </w:r>
    </w:p>
    <w:p w14:paraId="5301BAF0" w14:textId="77777777" w:rsidR="00CB5E37" w:rsidRP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6226CF21" w14:textId="046D6B93" w:rsid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sz w:val="24"/>
          <w:szCs w:val="24"/>
        </w:rPr>
        <w:t>Aceste prevederi se aplică pentru elevii care încep clasa a IX-a în anul școlar 2026–2027. Începând cu 1 septembrie 2026, formațiunile de studiu de nivel profesional funcționează în lichidare până la finalizarea nivelului.</w:t>
      </w:r>
    </w:p>
    <w:p w14:paraId="74C48678" w14:textId="77777777" w:rsidR="00CB5E37" w:rsidRP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05E51F80" w14:textId="57ED4A32" w:rsidR="00CB5E37" w:rsidRPr="00CB5E37" w:rsidRDefault="00CB5E37" w:rsidP="00CB5E37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b/>
          <w:bCs/>
          <w:sz w:val="24"/>
          <w:szCs w:val="24"/>
        </w:rPr>
        <w:t xml:space="preserve">Termene importante pentru operatorii economici și </w:t>
      </w:r>
      <w:r w:rsidR="002534A5">
        <w:rPr>
          <w:rFonts w:ascii="Trebuchet MS" w:hAnsi="Trebuchet MS"/>
          <w:b/>
          <w:bCs/>
          <w:sz w:val="24"/>
          <w:szCs w:val="24"/>
        </w:rPr>
        <w:t xml:space="preserve">pentru </w:t>
      </w:r>
      <w:r w:rsidRPr="00CB5E37">
        <w:rPr>
          <w:rFonts w:ascii="Trebuchet MS" w:hAnsi="Trebuchet MS"/>
          <w:b/>
          <w:bCs/>
          <w:sz w:val="24"/>
          <w:szCs w:val="24"/>
        </w:rPr>
        <w:t xml:space="preserve">unitățile de învățământ </w:t>
      </w:r>
      <w:r>
        <w:rPr>
          <w:rFonts w:ascii="Trebuchet MS" w:hAnsi="Trebuchet MS"/>
          <w:b/>
          <w:bCs/>
          <w:sz w:val="24"/>
          <w:szCs w:val="24"/>
        </w:rPr>
        <w:t>preuniversitar</w:t>
      </w:r>
      <w:r w:rsidR="002534A5">
        <w:rPr>
          <w:rFonts w:ascii="Trebuchet MS" w:hAnsi="Trebuchet MS"/>
          <w:b/>
          <w:bCs/>
          <w:sz w:val="24"/>
          <w:szCs w:val="24"/>
        </w:rPr>
        <w:t xml:space="preserve"> din județul Cluj</w:t>
      </w:r>
      <w:r>
        <w:rPr>
          <w:rFonts w:ascii="Trebuchet MS" w:hAnsi="Trebuchet MS"/>
          <w:b/>
          <w:bCs/>
          <w:sz w:val="24"/>
          <w:szCs w:val="24"/>
        </w:rPr>
        <w:t xml:space="preserve">, </w:t>
      </w:r>
      <w:r w:rsidRPr="00CB5E37">
        <w:rPr>
          <w:rFonts w:ascii="Trebuchet MS" w:hAnsi="Trebuchet MS"/>
          <w:b/>
          <w:bCs/>
          <w:sz w:val="24"/>
          <w:szCs w:val="24"/>
        </w:rPr>
        <w:t>în vederea stabilirii cifrei de școlarizare în învățământul liceal tehnologic dual și liceal tehnologic, de stat, pentru anul școlar 2026-2027, conform O</w:t>
      </w:r>
      <w:r>
        <w:rPr>
          <w:rFonts w:ascii="Trebuchet MS" w:hAnsi="Trebuchet MS"/>
          <w:b/>
          <w:bCs/>
          <w:sz w:val="24"/>
          <w:szCs w:val="24"/>
        </w:rPr>
        <w:t>.</w:t>
      </w:r>
      <w:r w:rsidRPr="00CB5E37">
        <w:rPr>
          <w:rFonts w:ascii="Trebuchet MS" w:hAnsi="Trebuchet MS"/>
          <w:b/>
          <w:bCs/>
          <w:sz w:val="24"/>
          <w:szCs w:val="24"/>
        </w:rPr>
        <w:t>M</w:t>
      </w:r>
      <w:r>
        <w:rPr>
          <w:rFonts w:ascii="Trebuchet MS" w:hAnsi="Trebuchet MS"/>
          <w:b/>
          <w:bCs/>
          <w:sz w:val="24"/>
          <w:szCs w:val="24"/>
        </w:rPr>
        <w:t>.</w:t>
      </w:r>
      <w:r w:rsidRPr="00CB5E37">
        <w:rPr>
          <w:rFonts w:ascii="Trebuchet MS" w:hAnsi="Trebuchet MS"/>
          <w:b/>
          <w:bCs/>
          <w:sz w:val="24"/>
          <w:szCs w:val="24"/>
        </w:rPr>
        <w:t>E</w:t>
      </w:r>
      <w:r>
        <w:rPr>
          <w:rFonts w:ascii="Trebuchet MS" w:hAnsi="Trebuchet MS"/>
          <w:b/>
          <w:bCs/>
          <w:sz w:val="24"/>
          <w:szCs w:val="24"/>
        </w:rPr>
        <w:t>.</w:t>
      </w:r>
      <w:r w:rsidRPr="00CB5E37">
        <w:rPr>
          <w:rFonts w:ascii="Trebuchet MS" w:hAnsi="Trebuchet MS"/>
          <w:b/>
          <w:bCs/>
          <w:sz w:val="24"/>
          <w:szCs w:val="24"/>
        </w:rPr>
        <w:t>C</w:t>
      </w:r>
      <w:r>
        <w:rPr>
          <w:rFonts w:ascii="Trebuchet MS" w:hAnsi="Trebuchet MS"/>
          <w:b/>
          <w:bCs/>
          <w:sz w:val="24"/>
          <w:szCs w:val="24"/>
        </w:rPr>
        <w:t>.</w:t>
      </w:r>
      <w:r w:rsidRPr="00CB5E37">
        <w:rPr>
          <w:rFonts w:ascii="Trebuchet MS" w:hAnsi="Trebuchet MS"/>
          <w:b/>
          <w:bCs/>
          <w:sz w:val="24"/>
          <w:szCs w:val="24"/>
        </w:rPr>
        <w:t xml:space="preserve"> nr. 6800/27.11.2025</w:t>
      </w:r>
    </w:p>
    <w:p w14:paraId="41F6244D" w14:textId="77777777" w:rsidR="00CB5E37" w:rsidRPr="00CB5E37" w:rsidRDefault="00CB5E37" w:rsidP="00FB436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b/>
          <w:bCs/>
          <w:sz w:val="24"/>
          <w:szCs w:val="24"/>
        </w:rPr>
        <w:t>Până la 9 decembrie 2025</w:t>
      </w:r>
      <w:r w:rsidRPr="00CB5E37">
        <w:rPr>
          <w:rFonts w:ascii="Trebuchet MS" w:hAnsi="Trebuchet MS"/>
          <w:sz w:val="24"/>
          <w:szCs w:val="24"/>
        </w:rPr>
        <w:t>:</w:t>
      </w:r>
    </w:p>
    <w:p w14:paraId="2E5E46AB" w14:textId="50875A4B" w:rsidR="00CB5E37" w:rsidRDefault="00CB5E37" w:rsidP="00FB436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Pr="00CB5E37">
        <w:rPr>
          <w:rFonts w:ascii="Trebuchet MS" w:hAnsi="Trebuchet MS"/>
          <w:sz w:val="24"/>
          <w:szCs w:val="24"/>
        </w:rPr>
        <w:t>ransmitere</w:t>
      </w:r>
      <w:r w:rsidR="002534A5">
        <w:rPr>
          <w:rFonts w:ascii="Trebuchet MS" w:hAnsi="Trebuchet MS"/>
          <w:sz w:val="24"/>
          <w:szCs w:val="24"/>
        </w:rPr>
        <w:t>a de către unitățile de învățămâ</w:t>
      </w:r>
      <w:r w:rsidRPr="00CB5E37">
        <w:rPr>
          <w:rFonts w:ascii="Trebuchet MS" w:hAnsi="Trebuchet MS"/>
          <w:sz w:val="24"/>
          <w:szCs w:val="24"/>
        </w:rPr>
        <w:t>nt</w:t>
      </w:r>
      <w:r>
        <w:rPr>
          <w:rFonts w:ascii="Trebuchet MS" w:hAnsi="Trebuchet MS"/>
          <w:sz w:val="24"/>
          <w:szCs w:val="24"/>
        </w:rPr>
        <w:t xml:space="preserve"> preuniversitar</w:t>
      </w:r>
      <w:r w:rsidRPr="00CB5E37">
        <w:rPr>
          <w:rFonts w:ascii="Trebuchet MS" w:hAnsi="Trebuchet MS"/>
          <w:sz w:val="24"/>
          <w:szCs w:val="24"/>
        </w:rPr>
        <w:t xml:space="preserve"> sau </w:t>
      </w:r>
      <w:r>
        <w:rPr>
          <w:rFonts w:ascii="Trebuchet MS" w:hAnsi="Trebuchet MS"/>
          <w:sz w:val="24"/>
          <w:szCs w:val="24"/>
        </w:rPr>
        <w:t>de c</w:t>
      </w:r>
      <w:r>
        <w:rPr>
          <w:rFonts w:ascii="Trebuchet MS" w:hAnsi="Trebuchet MS"/>
          <w:sz w:val="24"/>
          <w:szCs w:val="24"/>
          <w:lang w:val="ro-RO"/>
        </w:rPr>
        <w:t xml:space="preserve">ătre </w:t>
      </w:r>
      <w:r w:rsidRPr="00CB5E37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>peratorii economici înspre</w:t>
      </w:r>
      <w:r w:rsidRPr="00CB5E37">
        <w:rPr>
          <w:rFonts w:ascii="Trebuchet MS" w:hAnsi="Trebuchet MS"/>
          <w:sz w:val="24"/>
          <w:szCs w:val="24"/>
        </w:rPr>
        <w:t xml:space="preserve"> Centrul Național de Dezvoltare a Învățământului Profesional și Tehnic (CNDIPT) a solicitărilor de școlarizare pentru </w:t>
      </w:r>
      <w:r w:rsidRPr="00CB5E37">
        <w:rPr>
          <w:rFonts w:ascii="Trebuchet MS" w:hAnsi="Trebuchet MS"/>
          <w:b/>
          <w:bCs/>
          <w:sz w:val="24"/>
          <w:szCs w:val="24"/>
        </w:rPr>
        <w:t>clasa a IX-a – învățământ liceal tehnologic dual</w:t>
      </w:r>
      <w:r w:rsidRPr="00CB5E37">
        <w:rPr>
          <w:rFonts w:ascii="Trebuchet MS" w:hAnsi="Trebuchet MS"/>
          <w:sz w:val="24"/>
          <w:szCs w:val="24"/>
        </w:rPr>
        <w:t>;</w:t>
      </w:r>
    </w:p>
    <w:p w14:paraId="71706E25" w14:textId="70D4CF03" w:rsidR="00CB5E37" w:rsidRDefault="00CB5E37" w:rsidP="00FB436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Pr="00CB5E37">
        <w:rPr>
          <w:rFonts w:ascii="Trebuchet MS" w:hAnsi="Trebuchet MS"/>
          <w:sz w:val="24"/>
          <w:szCs w:val="24"/>
        </w:rPr>
        <w:t>ransmiterea d</w:t>
      </w:r>
      <w:r>
        <w:rPr>
          <w:rFonts w:ascii="Trebuchet MS" w:hAnsi="Trebuchet MS"/>
          <w:sz w:val="24"/>
          <w:szCs w:val="24"/>
        </w:rPr>
        <w:t xml:space="preserve">e către operatorii economici înspre </w:t>
      </w:r>
      <w:r w:rsidRPr="00CB5E37">
        <w:rPr>
          <w:rFonts w:ascii="Trebuchet MS" w:hAnsi="Trebuchet MS"/>
          <w:sz w:val="24"/>
          <w:szCs w:val="24"/>
        </w:rPr>
        <w:t>Centrul Național de Dezvoltare a Învățământului Profesional și Tehnic (CNDIPT) a solicitărilor pentru </w:t>
      </w:r>
      <w:r w:rsidRPr="00CB5E37">
        <w:rPr>
          <w:rFonts w:ascii="Trebuchet MS" w:hAnsi="Trebuchet MS"/>
          <w:b/>
          <w:bCs/>
          <w:sz w:val="24"/>
          <w:szCs w:val="24"/>
        </w:rPr>
        <w:t>calificări profesionale de nivel 4 – clasa a XI-a</w:t>
      </w:r>
      <w:r w:rsidRPr="00CB5E37">
        <w:rPr>
          <w:rFonts w:ascii="Trebuchet MS" w:hAnsi="Trebuchet MS"/>
          <w:sz w:val="24"/>
          <w:szCs w:val="24"/>
        </w:rPr>
        <w:t>, cu durată de 2 ani (zi) sau 3 ani (seral);</w:t>
      </w:r>
    </w:p>
    <w:p w14:paraId="2F16A731" w14:textId="77777777" w:rsidR="00CB5E37" w:rsidRPr="00CB5E37" w:rsidRDefault="00CB5E37" w:rsidP="00CB5E37">
      <w:pPr>
        <w:spacing w:after="0" w:line="240" w:lineRule="auto"/>
        <w:ind w:left="709"/>
        <w:jc w:val="both"/>
        <w:rPr>
          <w:rFonts w:ascii="Trebuchet MS" w:hAnsi="Trebuchet MS"/>
          <w:sz w:val="24"/>
          <w:szCs w:val="24"/>
        </w:rPr>
      </w:pPr>
    </w:p>
    <w:p w14:paraId="013E72AA" w14:textId="77777777" w:rsidR="00CB5E37" w:rsidRPr="00CB5E37" w:rsidRDefault="00CB5E37" w:rsidP="00FB4366">
      <w:pPr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b/>
          <w:bCs/>
          <w:sz w:val="24"/>
          <w:szCs w:val="24"/>
        </w:rPr>
        <w:t>Până la 15 decembrie 2025</w:t>
      </w:r>
      <w:r w:rsidRPr="00CB5E37">
        <w:rPr>
          <w:rFonts w:ascii="Trebuchet MS" w:hAnsi="Trebuchet MS"/>
          <w:sz w:val="24"/>
          <w:szCs w:val="24"/>
        </w:rPr>
        <w:t>:</w:t>
      </w:r>
    </w:p>
    <w:p w14:paraId="53C1828D" w14:textId="47688EA4" w:rsidR="00CB5E37" w:rsidRDefault="00CB5E37" w:rsidP="00FB4366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Pr="00CB5E37">
        <w:rPr>
          <w:rFonts w:ascii="Trebuchet MS" w:hAnsi="Trebuchet MS"/>
          <w:sz w:val="24"/>
          <w:szCs w:val="24"/>
        </w:rPr>
        <w:t>ransmiterea de către unitățile de învățământ</w:t>
      </w:r>
      <w:r>
        <w:rPr>
          <w:rFonts w:ascii="Trebuchet MS" w:hAnsi="Trebuchet MS"/>
          <w:sz w:val="24"/>
          <w:szCs w:val="24"/>
        </w:rPr>
        <w:t xml:space="preserve"> preuniversitar înspre</w:t>
      </w:r>
      <w:r w:rsidRPr="00CB5E37">
        <w:rPr>
          <w:rFonts w:ascii="Trebuchet MS" w:hAnsi="Trebuchet MS"/>
          <w:sz w:val="24"/>
          <w:szCs w:val="24"/>
        </w:rPr>
        <w:t xml:space="preserve"> Inspectoratul Școlar Județean </w:t>
      </w:r>
      <w:r w:rsidR="000A28AF">
        <w:rPr>
          <w:rFonts w:ascii="Trebuchet MS" w:hAnsi="Trebuchet MS"/>
          <w:sz w:val="24"/>
          <w:szCs w:val="24"/>
        </w:rPr>
        <w:t xml:space="preserve">Cluj </w:t>
      </w:r>
      <w:r w:rsidRPr="00CB5E37">
        <w:rPr>
          <w:rFonts w:ascii="Trebuchet MS" w:hAnsi="Trebuchet MS"/>
          <w:sz w:val="24"/>
          <w:szCs w:val="24"/>
        </w:rPr>
        <w:t>a solicitărilor de școlarizare pentru </w:t>
      </w:r>
      <w:r w:rsidRPr="00CB5E37">
        <w:rPr>
          <w:rFonts w:ascii="Trebuchet MS" w:hAnsi="Trebuchet MS"/>
          <w:b/>
          <w:bCs/>
          <w:sz w:val="24"/>
          <w:szCs w:val="24"/>
        </w:rPr>
        <w:t>clasa a IX-a – învățământ liceal tehnologic</w:t>
      </w:r>
      <w:r w:rsidRPr="00CB5E37">
        <w:rPr>
          <w:rFonts w:ascii="Trebuchet MS" w:hAnsi="Trebuchet MS"/>
          <w:sz w:val="24"/>
          <w:szCs w:val="24"/>
        </w:rPr>
        <w:t>.</w:t>
      </w:r>
    </w:p>
    <w:p w14:paraId="1134F76F" w14:textId="77777777" w:rsidR="000A28AF" w:rsidRPr="00CB5E37" w:rsidRDefault="000A28AF" w:rsidP="000A28AF">
      <w:pPr>
        <w:spacing w:after="0" w:line="240" w:lineRule="auto"/>
        <w:ind w:left="709"/>
        <w:jc w:val="both"/>
        <w:rPr>
          <w:rFonts w:ascii="Trebuchet MS" w:hAnsi="Trebuchet MS"/>
          <w:sz w:val="24"/>
          <w:szCs w:val="24"/>
        </w:rPr>
      </w:pPr>
    </w:p>
    <w:p w14:paraId="4DA45D9D" w14:textId="3805063C" w:rsidR="00EF2003" w:rsidRDefault="00CB5E37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CB5E37">
        <w:rPr>
          <w:rFonts w:ascii="Trebuchet MS" w:hAnsi="Trebuchet MS"/>
          <w:sz w:val="24"/>
          <w:szCs w:val="24"/>
        </w:rPr>
        <w:t>Respectarea acestor termene este esențială pentru planificarea corectă a ofertei educaționale care să corespundă nevoilor mediului de afaceri.</w:t>
      </w:r>
    </w:p>
    <w:p w14:paraId="33CD0C61" w14:textId="77777777" w:rsidR="000A28AF" w:rsidRPr="000A28AF" w:rsidRDefault="000A28AF" w:rsidP="000A28AF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14:paraId="78EBCDA4" w14:textId="6488503F" w:rsidR="00F31092" w:rsidRPr="005A1901" w:rsidRDefault="00CB5E37" w:rsidP="00535819">
      <w:pPr>
        <w:jc w:val="both"/>
        <w:rPr>
          <w:rFonts w:ascii="Trebuchet MS" w:eastAsia="Times New Roman" w:hAnsi="Trebuchet MS"/>
          <w:b/>
          <w:color w:val="4F81BD" w:themeColor="accent1"/>
          <w:sz w:val="24"/>
          <w:szCs w:val="24"/>
        </w:rPr>
      </w:pPr>
      <w:r>
        <w:rPr>
          <w:rFonts w:ascii="Trebuchet MS" w:eastAsia="Times New Roman" w:hAnsi="Trebuchet MS"/>
          <w:b/>
          <w:i/>
          <w:iCs/>
          <w:color w:val="4F81BD" w:themeColor="accent1"/>
          <w:sz w:val="24"/>
          <w:szCs w:val="24"/>
        </w:rPr>
        <w:t xml:space="preserve">                                                                </w:t>
      </w:r>
      <w:r w:rsidR="00904BBE" w:rsidRPr="00050AB3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 xml:space="preserve">  COMUNICARE INS</w:t>
      </w:r>
      <w:r w:rsidR="00904BBE" w:rsidRPr="005A1901">
        <w:rPr>
          <w:rFonts w:ascii="Trebuchet MS" w:eastAsia="Times New Roman" w:hAnsi="Trebuchet MS"/>
          <w:b/>
          <w:color w:val="4F81BD" w:themeColor="accent1"/>
          <w:sz w:val="24"/>
          <w:szCs w:val="24"/>
        </w:rPr>
        <w:t>TITUȚIONALĂ, I.Ș.J. CLUJ</w:t>
      </w:r>
    </w:p>
    <w:sectPr w:rsidR="00F31092" w:rsidRPr="005A1901" w:rsidSect="00CB5E37">
      <w:headerReference w:type="first" r:id="rId8"/>
      <w:footerReference w:type="first" r:id="rId9"/>
      <w:pgSz w:w="11907" w:h="16839" w:code="9"/>
      <w:pgMar w:top="-1418" w:right="1134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87A9B" w14:textId="77777777" w:rsidR="004C6EC3" w:rsidRDefault="004C6EC3" w:rsidP="00E160F0">
      <w:pPr>
        <w:spacing w:after="0" w:line="240" w:lineRule="auto"/>
      </w:pPr>
      <w:r>
        <w:separator/>
      </w:r>
    </w:p>
  </w:endnote>
  <w:endnote w:type="continuationSeparator" w:id="0">
    <w:p w14:paraId="451546D1" w14:textId="77777777" w:rsidR="004C6EC3" w:rsidRDefault="004C6EC3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0C1DD40D" w:rsidR="0005261D" w:rsidRPr="00AB1060" w:rsidRDefault="00CB5E37" w:rsidP="000115BF">
    <w:pPr>
      <w:pStyle w:val="Footer"/>
      <w:ind w:left="6521"/>
      <w:jc w:val="center"/>
      <w:rPr>
        <w:color w:val="0F243E"/>
      </w:rPr>
    </w:pPr>
    <w:r>
      <w:rPr>
        <w:color w:val="0F243E"/>
      </w:rPr>
      <w:tab/>
      <w:t xml:space="preserve">           </w:t>
    </w:r>
    <w:hyperlink r:id="rId1" w:history="1">
      <w:r w:rsidR="001F05A6" w:rsidRPr="007028F7">
        <w:rPr>
          <w:rStyle w:val="Hyperlink"/>
        </w:rPr>
        <w:t>www.isjcj.ro</w:t>
      </w:r>
    </w:hyperlink>
    <w:r w:rsidR="000115BF" w:rsidRPr="00AB1060">
      <w:rPr>
        <w:color w:val="0F243E"/>
      </w:rPr>
      <w:t xml:space="preserve">, </w:t>
    </w:r>
    <w:hyperlink r:id="rId2" w:history="1">
      <w:r w:rsidR="00C73F96" w:rsidRPr="00631985">
        <w:rPr>
          <w:rStyle w:val="Hyperlink"/>
        </w:rPr>
        <w:t>contact@isjcj.ro</w:t>
      </w:r>
    </w:hyperlink>
    <w:r w:rsidR="000115BF"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CBDDF" w14:textId="77777777" w:rsidR="004C6EC3" w:rsidRDefault="004C6EC3" w:rsidP="00E160F0">
      <w:pPr>
        <w:spacing w:after="0" w:line="240" w:lineRule="auto"/>
      </w:pPr>
      <w:r>
        <w:separator/>
      </w:r>
    </w:p>
  </w:footnote>
  <w:footnote w:type="continuationSeparator" w:id="0">
    <w:p w14:paraId="728A58E6" w14:textId="77777777" w:rsidR="004C6EC3" w:rsidRDefault="004C6EC3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5BFA94CD" w:rsidR="00AD2EBC" w:rsidRDefault="005F581F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D668F9A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320040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668655"/>
                        <a:chOff x="0" y="0"/>
                        <a:chExt cx="3603288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3075929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65279AC1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5F581F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ȘI CERCETĂRII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15pt;margin-top:8.3pt;width:252pt;height:52.65pt;z-index:251659264;mso-width-relative:margin;mso-height-relative:margin" coordsize="36032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DH0BAN3AAAAAcBAAAPAAAAZHJzL2Rvd25yZXYu&#10;eG1sTI5BS8NAEIXvgv9hGcGb3aS1QWM2pRT1VARbQbxNk2kSmp0N2W2S/nvHkz3O9x5vvmw12VYN&#10;1PvGsYF4FoEiLlzZcGXga//28ATKB+QSW8dk4EIeVvntTYZp6Ub+pGEXKiUj7FM0UIfQpVr7oiaL&#10;fuY6YsmOrrcY5OwrXfY4yrht9TyKEm2xYflQY0ebmorT7mwNvI84rhfx67A9HTeXn/3y43sbkzH3&#10;d9P6BVSgKfyX4U9f1CEXp4M7c+lVa2AhPaFJAkrSZfQo4CBgHj+DzjN97Z//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30759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65279AC1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5F581F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ȘI CERCETĂRII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372B520B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23FC0"/>
    <w:multiLevelType w:val="multilevel"/>
    <w:tmpl w:val="BE3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214562"/>
    <w:multiLevelType w:val="multilevel"/>
    <w:tmpl w:val="E67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5055650">
    <w:abstractNumId w:val="1"/>
  </w:num>
  <w:num w:numId="2" w16cid:durableId="177328161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0367"/>
    <w:rsid w:val="000217DF"/>
    <w:rsid w:val="00021DE6"/>
    <w:rsid w:val="0003405A"/>
    <w:rsid w:val="00034A44"/>
    <w:rsid w:val="000407EC"/>
    <w:rsid w:val="000436D2"/>
    <w:rsid w:val="00050AB3"/>
    <w:rsid w:val="0005261D"/>
    <w:rsid w:val="0005287F"/>
    <w:rsid w:val="00052E50"/>
    <w:rsid w:val="00053D07"/>
    <w:rsid w:val="00055E24"/>
    <w:rsid w:val="00055FD5"/>
    <w:rsid w:val="00057791"/>
    <w:rsid w:val="00062CA5"/>
    <w:rsid w:val="00063F2C"/>
    <w:rsid w:val="00070380"/>
    <w:rsid w:val="00073250"/>
    <w:rsid w:val="00074FE6"/>
    <w:rsid w:val="00092EE7"/>
    <w:rsid w:val="000A07B4"/>
    <w:rsid w:val="000A235B"/>
    <w:rsid w:val="000A28AF"/>
    <w:rsid w:val="000A76D7"/>
    <w:rsid w:val="000B032C"/>
    <w:rsid w:val="000B1434"/>
    <w:rsid w:val="000B40AA"/>
    <w:rsid w:val="000B519A"/>
    <w:rsid w:val="000C1689"/>
    <w:rsid w:val="000D1C8F"/>
    <w:rsid w:val="000D22F7"/>
    <w:rsid w:val="000D60D6"/>
    <w:rsid w:val="000E5CDD"/>
    <w:rsid w:val="000E699F"/>
    <w:rsid w:val="000F33A8"/>
    <w:rsid w:val="000F409C"/>
    <w:rsid w:val="000F5D2E"/>
    <w:rsid w:val="000F7687"/>
    <w:rsid w:val="00104134"/>
    <w:rsid w:val="00105F57"/>
    <w:rsid w:val="001114F5"/>
    <w:rsid w:val="00113B2F"/>
    <w:rsid w:val="00120047"/>
    <w:rsid w:val="001217CA"/>
    <w:rsid w:val="001220DA"/>
    <w:rsid w:val="0012295B"/>
    <w:rsid w:val="00140109"/>
    <w:rsid w:val="0014062F"/>
    <w:rsid w:val="00144E00"/>
    <w:rsid w:val="00153ADB"/>
    <w:rsid w:val="00154E6B"/>
    <w:rsid w:val="00155B8D"/>
    <w:rsid w:val="00164EE6"/>
    <w:rsid w:val="00171311"/>
    <w:rsid w:val="00171C9B"/>
    <w:rsid w:val="00172CA8"/>
    <w:rsid w:val="0017641A"/>
    <w:rsid w:val="00187B9E"/>
    <w:rsid w:val="00187C03"/>
    <w:rsid w:val="001925BD"/>
    <w:rsid w:val="001926D4"/>
    <w:rsid w:val="00196074"/>
    <w:rsid w:val="001A0537"/>
    <w:rsid w:val="001A178B"/>
    <w:rsid w:val="001A2B49"/>
    <w:rsid w:val="001A6587"/>
    <w:rsid w:val="001B0E63"/>
    <w:rsid w:val="001C702D"/>
    <w:rsid w:val="001D110E"/>
    <w:rsid w:val="001D361A"/>
    <w:rsid w:val="001D5A85"/>
    <w:rsid w:val="001E0ADD"/>
    <w:rsid w:val="001E0B53"/>
    <w:rsid w:val="001F00BF"/>
    <w:rsid w:val="001F05A6"/>
    <w:rsid w:val="001F50B8"/>
    <w:rsid w:val="001F570E"/>
    <w:rsid w:val="00200340"/>
    <w:rsid w:val="0020475E"/>
    <w:rsid w:val="00207DEC"/>
    <w:rsid w:val="002124B0"/>
    <w:rsid w:val="00212B9A"/>
    <w:rsid w:val="002170A1"/>
    <w:rsid w:val="00220F42"/>
    <w:rsid w:val="00251B80"/>
    <w:rsid w:val="002534A5"/>
    <w:rsid w:val="0025446A"/>
    <w:rsid w:val="00255F7E"/>
    <w:rsid w:val="0025734C"/>
    <w:rsid w:val="00260C60"/>
    <w:rsid w:val="00261F9B"/>
    <w:rsid w:val="00270DFD"/>
    <w:rsid w:val="00270FBB"/>
    <w:rsid w:val="00290AC4"/>
    <w:rsid w:val="00290E58"/>
    <w:rsid w:val="0029164B"/>
    <w:rsid w:val="002936BF"/>
    <w:rsid w:val="002948B4"/>
    <w:rsid w:val="00296542"/>
    <w:rsid w:val="00296BE7"/>
    <w:rsid w:val="002972FA"/>
    <w:rsid w:val="002A4FC0"/>
    <w:rsid w:val="002B12B9"/>
    <w:rsid w:val="002B6CF7"/>
    <w:rsid w:val="002C4574"/>
    <w:rsid w:val="002D1348"/>
    <w:rsid w:val="002D4617"/>
    <w:rsid w:val="002E5B7E"/>
    <w:rsid w:val="00301B6E"/>
    <w:rsid w:val="00302578"/>
    <w:rsid w:val="00303739"/>
    <w:rsid w:val="00304A1E"/>
    <w:rsid w:val="00307BA9"/>
    <w:rsid w:val="00310A95"/>
    <w:rsid w:val="00312C4D"/>
    <w:rsid w:val="00323076"/>
    <w:rsid w:val="00327272"/>
    <w:rsid w:val="0033014C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87304"/>
    <w:rsid w:val="003A082C"/>
    <w:rsid w:val="003A0AAE"/>
    <w:rsid w:val="003A342D"/>
    <w:rsid w:val="003A4A99"/>
    <w:rsid w:val="003A6708"/>
    <w:rsid w:val="003A6AE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2B5"/>
    <w:rsid w:val="004355D7"/>
    <w:rsid w:val="0044242F"/>
    <w:rsid w:val="00445ECB"/>
    <w:rsid w:val="0045155F"/>
    <w:rsid w:val="004618AF"/>
    <w:rsid w:val="004638C8"/>
    <w:rsid w:val="004657F4"/>
    <w:rsid w:val="004740BD"/>
    <w:rsid w:val="00482ED2"/>
    <w:rsid w:val="004839AE"/>
    <w:rsid w:val="004901B7"/>
    <w:rsid w:val="00494C2C"/>
    <w:rsid w:val="00497CC0"/>
    <w:rsid w:val="00497E2D"/>
    <w:rsid w:val="004A1089"/>
    <w:rsid w:val="004B1879"/>
    <w:rsid w:val="004B344A"/>
    <w:rsid w:val="004C1666"/>
    <w:rsid w:val="004C6308"/>
    <w:rsid w:val="004C6EC3"/>
    <w:rsid w:val="004D0F33"/>
    <w:rsid w:val="004D2D04"/>
    <w:rsid w:val="004E05B8"/>
    <w:rsid w:val="004E6719"/>
    <w:rsid w:val="00503092"/>
    <w:rsid w:val="00513D14"/>
    <w:rsid w:val="00514EAD"/>
    <w:rsid w:val="00516D0C"/>
    <w:rsid w:val="00517AA0"/>
    <w:rsid w:val="005214B0"/>
    <w:rsid w:val="00522F26"/>
    <w:rsid w:val="005271BB"/>
    <w:rsid w:val="00527F14"/>
    <w:rsid w:val="005331FF"/>
    <w:rsid w:val="00535819"/>
    <w:rsid w:val="00544E0F"/>
    <w:rsid w:val="00547412"/>
    <w:rsid w:val="005474A7"/>
    <w:rsid w:val="00552A63"/>
    <w:rsid w:val="00554CDB"/>
    <w:rsid w:val="0055700B"/>
    <w:rsid w:val="00557388"/>
    <w:rsid w:val="005577E8"/>
    <w:rsid w:val="0056170A"/>
    <w:rsid w:val="00562409"/>
    <w:rsid w:val="00565DB8"/>
    <w:rsid w:val="005746D1"/>
    <w:rsid w:val="005753BF"/>
    <w:rsid w:val="00576D7C"/>
    <w:rsid w:val="005808D3"/>
    <w:rsid w:val="00581439"/>
    <w:rsid w:val="00581E08"/>
    <w:rsid w:val="00583058"/>
    <w:rsid w:val="005847DD"/>
    <w:rsid w:val="00592437"/>
    <w:rsid w:val="005A1901"/>
    <w:rsid w:val="005B3477"/>
    <w:rsid w:val="005C5695"/>
    <w:rsid w:val="005C72DE"/>
    <w:rsid w:val="005C7A4B"/>
    <w:rsid w:val="005D2F67"/>
    <w:rsid w:val="005D433A"/>
    <w:rsid w:val="005D52C9"/>
    <w:rsid w:val="005D5FD3"/>
    <w:rsid w:val="005D60D8"/>
    <w:rsid w:val="005D6432"/>
    <w:rsid w:val="005D76E1"/>
    <w:rsid w:val="005E0FDF"/>
    <w:rsid w:val="005F01DE"/>
    <w:rsid w:val="005F0E88"/>
    <w:rsid w:val="005F1CCB"/>
    <w:rsid w:val="005F581F"/>
    <w:rsid w:val="00605F69"/>
    <w:rsid w:val="00611092"/>
    <w:rsid w:val="006146B7"/>
    <w:rsid w:val="006209CB"/>
    <w:rsid w:val="006248FB"/>
    <w:rsid w:val="006261D8"/>
    <w:rsid w:val="006279A2"/>
    <w:rsid w:val="006362D6"/>
    <w:rsid w:val="006378BA"/>
    <w:rsid w:val="00637F04"/>
    <w:rsid w:val="0064187A"/>
    <w:rsid w:val="0064245E"/>
    <w:rsid w:val="006427E0"/>
    <w:rsid w:val="00642B07"/>
    <w:rsid w:val="00645B8F"/>
    <w:rsid w:val="00654DA0"/>
    <w:rsid w:val="0065788D"/>
    <w:rsid w:val="006608B1"/>
    <w:rsid w:val="00661BFD"/>
    <w:rsid w:val="006671FA"/>
    <w:rsid w:val="0066793F"/>
    <w:rsid w:val="00674E8F"/>
    <w:rsid w:val="00676C94"/>
    <w:rsid w:val="006774AF"/>
    <w:rsid w:val="00687012"/>
    <w:rsid w:val="00693B97"/>
    <w:rsid w:val="006A0CBA"/>
    <w:rsid w:val="006A6AD3"/>
    <w:rsid w:val="006A6C5E"/>
    <w:rsid w:val="006B056F"/>
    <w:rsid w:val="006B23E8"/>
    <w:rsid w:val="006B30B0"/>
    <w:rsid w:val="006C1414"/>
    <w:rsid w:val="006C1721"/>
    <w:rsid w:val="006C57E1"/>
    <w:rsid w:val="006C7BD1"/>
    <w:rsid w:val="006D075C"/>
    <w:rsid w:val="006D45AC"/>
    <w:rsid w:val="006D4765"/>
    <w:rsid w:val="006D4AB8"/>
    <w:rsid w:val="006E3867"/>
    <w:rsid w:val="006F1F27"/>
    <w:rsid w:val="006F4A32"/>
    <w:rsid w:val="006F4EE8"/>
    <w:rsid w:val="006F7496"/>
    <w:rsid w:val="0070232E"/>
    <w:rsid w:val="0070341D"/>
    <w:rsid w:val="00706C61"/>
    <w:rsid w:val="007225E3"/>
    <w:rsid w:val="0073041D"/>
    <w:rsid w:val="007328E8"/>
    <w:rsid w:val="00735785"/>
    <w:rsid w:val="0074239E"/>
    <w:rsid w:val="00743D8F"/>
    <w:rsid w:val="0074514C"/>
    <w:rsid w:val="00746B16"/>
    <w:rsid w:val="00751DDB"/>
    <w:rsid w:val="007534B5"/>
    <w:rsid w:val="00754D54"/>
    <w:rsid w:val="007552EC"/>
    <w:rsid w:val="00763AFD"/>
    <w:rsid w:val="00764092"/>
    <w:rsid w:val="00766AD3"/>
    <w:rsid w:val="00772568"/>
    <w:rsid w:val="00773E5A"/>
    <w:rsid w:val="007741FF"/>
    <w:rsid w:val="00774E06"/>
    <w:rsid w:val="007750D2"/>
    <w:rsid w:val="00781201"/>
    <w:rsid w:val="0078359B"/>
    <w:rsid w:val="007A113E"/>
    <w:rsid w:val="007A5A88"/>
    <w:rsid w:val="007D1BBD"/>
    <w:rsid w:val="007D4729"/>
    <w:rsid w:val="007D723C"/>
    <w:rsid w:val="008018C3"/>
    <w:rsid w:val="00804FA0"/>
    <w:rsid w:val="00823F1F"/>
    <w:rsid w:val="00824B8C"/>
    <w:rsid w:val="00830B38"/>
    <w:rsid w:val="008329AB"/>
    <w:rsid w:val="00833E0D"/>
    <w:rsid w:val="008356EE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801C4"/>
    <w:rsid w:val="0088616C"/>
    <w:rsid w:val="00887286"/>
    <w:rsid w:val="0089127E"/>
    <w:rsid w:val="008935A7"/>
    <w:rsid w:val="008A2643"/>
    <w:rsid w:val="008A6702"/>
    <w:rsid w:val="008B2BAA"/>
    <w:rsid w:val="008B4DBB"/>
    <w:rsid w:val="008B66D6"/>
    <w:rsid w:val="008B6F34"/>
    <w:rsid w:val="008C5FDA"/>
    <w:rsid w:val="008D0076"/>
    <w:rsid w:val="008D0C39"/>
    <w:rsid w:val="008D1A01"/>
    <w:rsid w:val="008D7448"/>
    <w:rsid w:val="008F1143"/>
    <w:rsid w:val="00900001"/>
    <w:rsid w:val="00904BBE"/>
    <w:rsid w:val="00913122"/>
    <w:rsid w:val="00917CD5"/>
    <w:rsid w:val="009212F0"/>
    <w:rsid w:val="00923E56"/>
    <w:rsid w:val="00923F0C"/>
    <w:rsid w:val="00935AFE"/>
    <w:rsid w:val="00937C22"/>
    <w:rsid w:val="00942012"/>
    <w:rsid w:val="009469C5"/>
    <w:rsid w:val="00947923"/>
    <w:rsid w:val="00955A5B"/>
    <w:rsid w:val="00957225"/>
    <w:rsid w:val="0096397E"/>
    <w:rsid w:val="00972FB6"/>
    <w:rsid w:val="00975751"/>
    <w:rsid w:val="009771E5"/>
    <w:rsid w:val="009838FF"/>
    <w:rsid w:val="009948AE"/>
    <w:rsid w:val="00995B39"/>
    <w:rsid w:val="00995FA7"/>
    <w:rsid w:val="009A21EB"/>
    <w:rsid w:val="009C2A54"/>
    <w:rsid w:val="009D0E19"/>
    <w:rsid w:val="009E1F33"/>
    <w:rsid w:val="009F1375"/>
    <w:rsid w:val="009F182D"/>
    <w:rsid w:val="009F33C2"/>
    <w:rsid w:val="009F3E01"/>
    <w:rsid w:val="009F729A"/>
    <w:rsid w:val="00A1254F"/>
    <w:rsid w:val="00A2370A"/>
    <w:rsid w:val="00A241F0"/>
    <w:rsid w:val="00A2611B"/>
    <w:rsid w:val="00A32DCF"/>
    <w:rsid w:val="00A3676E"/>
    <w:rsid w:val="00A4142B"/>
    <w:rsid w:val="00A55A30"/>
    <w:rsid w:val="00A65903"/>
    <w:rsid w:val="00A74BA4"/>
    <w:rsid w:val="00A76F62"/>
    <w:rsid w:val="00A8171D"/>
    <w:rsid w:val="00A8433B"/>
    <w:rsid w:val="00A91351"/>
    <w:rsid w:val="00A91F9F"/>
    <w:rsid w:val="00AA49DD"/>
    <w:rsid w:val="00AB1060"/>
    <w:rsid w:val="00AB1135"/>
    <w:rsid w:val="00AB7A91"/>
    <w:rsid w:val="00AB7EBF"/>
    <w:rsid w:val="00AD2EBC"/>
    <w:rsid w:val="00AD4AA9"/>
    <w:rsid w:val="00AE0898"/>
    <w:rsid w:val="00AE3957"/>
    <w:rsid w:val="00AE4419"/>
    <w:rsid w:val="00B07800"/>
    <w:rsid w:val="00B107B2"/>
    <w:rsid w:val="00B20EF4"/>
    <w:rsid w:val="00B24AC6"/>
    <w:rsid w:val="00B24B2A"/>
    <w:rsid w:val="00B31826"/>
    <w:rsid w:val="00B35108"/>
    <w:rsid w:val="00B4195F"/>
    <w:rsid w:val="00B50EF3"/>
    <w:rsid w:val="00B535D8"/>
    <w:rsid w:val="00B564F3"/>
    <w:rsid w:val="00B649DE"/>
    <w:rsid w:val="00B65621"/>
    <w:rsid w:val="00B676E9"/>
    <w:rsid w:val="00B7596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785"/>
    <w:rsid w:val="00C6179D"/>
    <w:rsid w:val="00C61EE5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3CAC"/>
    <w:rsid w:val="00CB3EA1"/>
    <w:rsid w:val="00CB5E37"/>
    <w:rsid w:val="00CB7CEA"/>
    <w:rsid w:val="00CC61CD"/>
    <w:rsid w:val="00CD0FB9"/>
    <w:rsid w:val="00CD23A6"/>
    <w:rsid w:val="00CD5649"/>
    <w:rsid w:val="00CE041F"/>
    <w:rsid w:val="00CE48AC"/>
    <w:rsid w:val="00CE4AF7"/>
    <w:rsid w:val="00CE6EF3"/>
    <w:rsid w:val="00CF5ED8"/>
    <w:rsid w:val="00CF6FD9"/>
    <w:rsid w:val="00CF7021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4AF6"/>
    <w:rsid w:val="00D36923"/>
    <w:rsid w:val="00D40251"/>
    <w:rsid w:val="00D428FA"/>
    <w:rsid w:val="00D43F71"/>
    <w:rsid w:val="00D50126"/>
    <w:rsid w:val="00D51C6B"/>
    <w:rsid w:val="00D5531C"/>
    <w:rsid w:val="00D56525"/>
    <w:rsid w:val="00D61273"/>
    <w:rsid w:val="00D626C1"/>
    <w:rsid w:val="00D70A56"/>
    <w:rsid w:val="00D72025"/>
    <w:rsid w:val="00D7362A"/>
    <w:rsid w:val="00D7438A"/>
    <w:rsid w:val="00D74E0F"/>
    <w:rsid w:val="00D7516E"/>
    <w:rsid w:val="00D802D8"/>
    <w:rsid w:val="00D83CEB"/>
    <w:rsid w:val="00D870AF"/>
    <w:rsid w:val="00D97151"/>
    <w:rsid w:val="00DA7888"/>
    <w:rsid w:val="00DB3C7B"/>
    <w:rsid w:val="00DB6823"/>
    <w:rsid w:val="00DC4115"/>
    <w:rsid w:val="00DC446A"/>
    <w:rsid w:val="00DC535B"/>
    <w:rsid w:val="00DC6C11"/>
    <w:rsid w:val="00DC7059"/>
    <w:rsid w:val="00DD2F1A"/>
    <w:rsid w:val="00DD5964"/>
    <w:rsid w:val="00DD6F82"/>
    <w:rsid w:val="00DE4509"/>
    <w:rsid w:val="00DE4891"/>
    <w:rsid w:val="00DF1BF5"/>
    <w:rsid w:val="00DF426F"/>
    <w:rsid w:val="00E02B7B"/>
    <w:rsid w:val="00E1549C"/>
    <w:rsid w:val="00E160F0"/>
    <w:rsid w:val="00E20A93"/>
    <w:rsid w:val="00E229C0"/>
    <w:rsid w:val="00E22C25"/>
    <w:rsid w:val="00E270B4"/>
    <w:rsid w:val="00E33DE6"/>
    <w:rsid w:val="00E342D5"/>
    <w:rsid w:val="00E37EF8"/>
    <w:rsid w:val="00E40201"/>
    <w:rsid w:val="00E42B15"/>
    <w:rsid w:val="00E43195"/>
    <w:rsid w:val="00E46A2F"/>
    <w:rsid w:val="00E55BFE"/>
    <w:rsid w:val="00E63944"/>
    <w:rsid w:val="00E64BAF"/>
    <w:rsid w:val="00E71200"/>
    <w:rsid w:val="00E74845"/>
    <w:rsid w:val="00E841AB"/>
    <w:rsid w:val="00E85A3A"/>
    <w:rsid w:val="00E87FC8"/>
    <w:rsid w:val="00E90DA9"/>
    <w:rsid w:val="00E92FBF"/>
    <w:rsid w:val="00E97F52"/>
    <w:rsid w:val="00EA1138"/>
    <w:rsid w:val="00EA2A3C"/>
    <w:rsid w:val="00EA629A"/>
    <w:rsid w:val="00EB51A2"/>
    <w:rsid w:val="00EB5364"/>
    <w:rsid w:val="00EB78F1"/>
    <w:rsid w:val="00EC07B8"/>
    <w:rsid w:val="00EC0A1A"/>
    <w:rsid w:val="00EC1057"/>
    <w:rsid w:val="00ED0997"/>
    <w:rsid w:val="00ED71D0"/>
    <w:rsid w:val="00ED72BD"/>
    <w:rsid w:val="00EF2003"/>
    <w:rsid w:val="00EF6CE8"/>
    <w:rsid w:val="00F20551"/>
    <w:rsid w:val="00F24A6A"/>
    <w:rsid w:val="00F25F27"/>
    <w:rsid w:val="00F26C20"/>
    <w:rsid w:val="00F31092"/>
    <w:rsid w:val="00F31728"/>
    <w:rsid w:val="00F37781"/>
    <w:rsid w:val="00F47E32"/>
    <w:rsid w:val="00F52CAF"/>
    <w:rsid w:val="00F52F3D"/>
    <w:rsid w:val="00F55603"/>
    <w:rsid w:val="00F6212B"/>
    <w:rsid w:val="00F644C5"/>
    <w:rsid w:val="00F71A08"/>
    <w:rsid w:val="00F722A3"/>
    <w:rsid w:val="00F7741F"/>
    <w:rsid w:val="00F8190B"/>
    <w:rsid w:val="00F87347"/>
    <w:rsid w:val="00F9252E"/>
    <w:rsid w:val="00F93F36"/>
    <w:rsid w:val="00F9745F"/>
    <w:rsid w:val="00FA14C6"/>
    <w:rsid w:val="00FB3135"/>
    <w:rsid w:val="00FB4366"/>
    <w:rsid w:val="00FC234A"/>
    <w:rsid w:val="00FC54C2"/>
    <w:rsid w:val="00FC7C79"/>
    <w:rsid w:val="00FD13BE"/>
    <w:rsid w:val="00FD4394"/>
    <w:rsid w:val="00FD4A88"/>
    <w:rsid w:val="00FD7F63"/>
    <w:rsid w:val="00FE0E21"/>
    <w:rsid w:val="00FE527C"/>
    <w:rsid w:val="00FF1F76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1F05A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3581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58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0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3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252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329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00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1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107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902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979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23545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28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7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5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77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9241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48347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78E28-5BEF-448B-8636-9DF077097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2725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Calin Murasan</cp:lastModifiedBy>
  <cp:revision>2</cp:revision>
  <cp:lastPrinted>2025-12-07T05:23:00Z</cp:lastPrinted>
  <dcterms:created xsi:type="dcterms:W3CDTF">2025-12-08T08:38:00Z</dcterms:created>
  <dcterms:modified xsi:type="dcterms:W3CDTF">2025-12-08T08:38:00Z</dcterms:modified>
</cp:coreProperties>
</file>